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EE36" w14:textId="45F90007" w:rsidR="00DA2FA9" w:rsidRPr="00736174" w:rsidRDefault="003D5F39" w:rsidP="00F33218">
      <w:pPr>
        <w:pStyle w:val="ListParagraph"/>
        <w:spacing w:after="0"/>
      </w:pPr>
      <w:r>
        <w:t>Model</w:t>
      </w:r>
      <w:r w:rsidR="003925A3">
        <w:t xml:space="preserve"> Governor</w:t>
      </w:r>
      <w:r w:rsidR="000F119F">
        <w:t xml:space="preserve"> </w:t>
      </w:r>
      <w:r>
        <w:t>Role Description</w:t>
      </w:r>
    </w:p>
    <w:p w14:paraId="58DB54CD" w14:textId="24273A0C" w:rsidR="00083B4F" w:rsidRDefault="00083B4F" w:rsidP="00F33218">
      <w:pPr>
        <w:pStyle w:val="NoSpacing"/>
        <w:spacing w:before="120"/>
      </w:pPr>
      <w:r w:rsidRPr="00083B4F">
        <w:t xml:space="preserve">Appendix </w:t>
      </w:r>
      <w:r w:rsidR="003D5F39">
        <w:t>5</w:t>
      </w:r>
    </w:p>
    <w:p w14:paraId="4C8A3D3E" w14:textId="311B1203" w:rsidR="00DC7D80" w:rsidRPr="00F33218" w:rsidRDefault="003D5F39" w:rsidP="00F33218">
      <w:pPr>
        <w:pStyle w:val="TTCTText"/>
        <w:spacing w:after="120"/>
        <w:jc w:val="left"/>
        <w:rPr>
          <w:b/>
          <w:bCs/>
          <w:sz w:val="24"/>
          <w:szCs w:val="24"/>
        </w:rPr>
      </w:pPr>
      <w:r w:rsidRPr="00F33218">
        <w:rPr>
          <w:b/>
          <w:bCs/>
          <w:sz w:val="24"/>
          <w:szCs w:val="24"/>
        </w:rPr>
        <w:t>Role of School Governor</w:t>
      </w:r>
    </w:p>
    <w:p w14:paraId="78F982FF" w14:textId="382DF160" w:rsidR="003D5F39" w:rsidRPr="003D5F39" w:rsidRDefault="003D5F39" w:rsidP="00F33218">
      <w:pPr>
        <w:pStyle w:val="TTCTText"/>
        <w:spacing w:after="40"/>
        <w:jc w:val="left"/>
        <w:rPr>
          <w:noProof/>
        </w:rPr>
      </w:pPr>
      <w:r w:rsidRPr="003D5F39">
        <w:rPr>
          <w:noProof/>
        </w:rPr>
        <w:t xml:space="preserve">To contribute to the work of the Local Governing Body (LGB) in ensuring high standards of achievement for all children and young people in the school by: </w:t>
      </w:r>
    </w:p>
    <w:p w14:paraId="17237AE2" w14:textId="538173D6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Setting the school’s vision, ethos and strategic direction. </w:t>
      </w:r>
    </w:p>
    <w:p w14:paraId="472DE886" w14:textId="13FDBA05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Holding the Headteacher to account for the educational performance of the school and its pupils.</w:t>
      </w:r>
    </w:p>
    <w:p w14:paraId="3773CCDD" w14:textId="39D03283" w:rsidR="003D5F39" w:rsidRPr="003D5F39" w:rsidRDefault="003D5F39" w:rsidP="00F33218">
      <w:pPr>
        <w:pStyle w:val="TTCTBulletpointV2"/>
        <w:spacing w:after="120"/>
        <w:rPr>
          <w:noProof/>
        </w:rPr>
      </w:pPr>
      <w:r w:rsidRPr="003D5F39">
        <w:rPr>
          <w:noProof/>
        </w:rPr>
        <w:t>Overseeing the financial performance of the school and making sure its money is well spent.</w:t>
      </w:r>
    </w:p>
    <w:p w14:paraId="7086FADF" w14:textId="77777777" w:rsidR="003D5F39" w:rsidRPr="003D5F39" w:rsidRDefault="003D5F39" w:rsidP="00F33218">
      <w:pPr>
        <w:pStyle w:val="NoSpacing"/>
        <w:spacing w:before="120" w:after="40"/>
        <w:rPr>
          <w:noProof/>
        </w:rPr>
      </w:pPr>
      <w:r w:rsidRPr="003D5F39">
        <w:rPr>
          <w:noProof/>
        </w:rPr>
        <w:t xml:space="preserve">Activities </w:t>
      </w:r>
    </w:p>
    <w:p w14:paraId="05532CE2" w14:textId="77777777" w:rsidR="003D5F39" w:rsidRPr="003D5F39" w:rsidRDefault="003D5F39" w:rsidP="00F33218">
      <w:pPr>
        <w:pStyle w:val="TTCTText"/>
        <w:spacing w:after="120"/>
        <w:jc w:val="left"/>
        <w:rPr>
          <w:noProof/>
        </w:rPr>
      </w:pPr>
      <w:r w:rsidRPr="003D5F39">
        <w:rPr>
          <w:noProof/>
        </w:rPr>
        <w:t xml:space="preserve">As part of the governing body team, a governor is expected to: </w:t>
      </w:r>
    </w:p>
    <w:p w14:paraId="62ED94EB" w14:textId="62077E84" w:rsidR="003D5F39" w:rsidRPr="003D5F39" w:rsidRDefault="003D5F39" w:rsidP="00F33218">
      <w:pPr>
        <w:pStyle w:val="TTCTText"/>
        <w:spacing w:after="40"/>
        <w:jc w:val="left"/>
        <w:rPr>
          <w:b/>
          <w:bCs/>
          <w:noProof/>
        </w:rPr>
      </w:pPr>
      <w:r w:rsidRPr="003D5F39">
        <w:rPr>
          <w:b/>
          <w:bCs/>
          <w:noProof/>
        </w:rPr>
        <w:t xml:space="preserve">1. Contribute to the strategic discussions at LGB meetings which determine: </w:t>
      </w:r>
    </w:p>
    <w:p w14:paraId="4F76EBC3" w14:textId="2DC15354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the vision and ethos of the school. </w:t>
      </w:r>
    </w:p>
    <w:p w14:paraId="203F835D" w14:textId="494C5D4F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clear and ambitious strategic priorities and targets for the school. </w:t>
      </w:r>
    </w:p>
    <w:p w14:paraId="3F9F535D" w14:textId="6E55EF1D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that all children, including those with special educational needs, have access to a broad and balanced curriculum. </w:t>
      </w:r>
    </w:p>
    <w:p w14:paraId="5E4DE2B0" w14:textId="6333344A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monitoring the school’s budget, including the expenditure of the pupil premium allocation.  </w:t>
      </w:r>
    </w:p>
    <w:p w14:paraId="6CFE53D9" w14:textId="018A9B69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the school’s staffing structure.</w:t>
      </w:r>
    </w:p>
    <w:p w14:paraId="1E83E15E" w14:textId="77777777" w:rsidR="00F33218" w:rsidRPr="00F33218" w:rsidRDefault="003D5F39" w:rsidP="00C04B3B">
      <w:pPr>
        <w:pStyle w:val="TTCTBulletpointV2"/>
        <w:spacing w:after="40"/>
        <w:rPr>
          <w:b/>
          <w:bCs/>
          <w:noProof/>
        </w:rPr>
      </w:pPr>
      <w:r w:rsidRPr="003D5F39">
        <w:rPr>
          <w:noProof/>
        </w:rPr>
        <w:t xml:space="preserve">the approval of school specific policies. </w:t>
      </w:r>
    </w:p>
    <w:p w14:paraId="0CEC86A3" w14:textId="69C3FB12" w:rsidR="003D5F39" w:rsidRPr="00F33218" w:rsidRDefault="003D5F39" w:rsidP="00F33218">
      <w:pPr>
        <w:pStyle w:val="TTCTBulletpointV2"/>
        <w:numPr>
          <w:ilvl w:val="0"/>
          <w:numId w:val="0"/>
        </w:numPr>
        <w:spacing w:before="120" w:after="40"/>
        <w:rPr>
          <w:b/>
          <w:bCs/>
          <w:noProof/>
        </w:rPr>
      </w:pPr>
      <w:r w:rsidRPr="00F33218">
        <w:rPr>
          <w:b/>
          <w:bCs/>
          <w:noProof/>
        </w:rPr>
        <w:t>2. Operational Responsibilities of the LGB, as per The Two Counties Trust Governance Structure.</w:t>
      </w:r>
    </w:p>
    <w:p w14:paraId="68F5E64B" w14:textId="7C357A7E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annually accept the TTCT Terms of Reference and Standing Orders.</w:t>
      </w:r>
    </w:p>
    <w:p w14:paraId="3C90B39D" w14:textId="37D73405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be responsible to the Trustees for its actions and follow the expectations of governors as laid down by the Trustees.</w:t>
      </w:r>
    </w:p>
    <w:p w14:paraId="16475991" w14:textId="77B59862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appoint (or remove) a Chair and Vice Chair annually. </w:t>
      </w:r>
    </w:p>
    <w:p w14:paraId="4A43C6BF" w14:textId="061D85BA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hold at least four LGB meetings per year.</w:t>
      </w:r>
    </w:p>
    <w:p w14:paraId="252C7AA2" w14:textId="54B6F29B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recruit new stakeholder governors as vacancies, arise (parent, staff and co-opted governors).</w:t>
      </w:r>
    </w:p>
    <w:p w14:paraId="36696C3F" w14:textId="73CA311B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arrange induction and mentoring for newly appointed or elected governors.</w:t>
      </w:r>
    </w:p>
    <w:p w14:paraId="056A8D19" w14:textId="33146661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aim to ensure that its governors promote and uphold high standards of conduct, probity and ethics.</w:t>
      </w:r>
    </w:p>
    <w:p w14:paraId="63B3B43F" w14:textId="494EBAB4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participate in appropriate training.</w:t>
      </w:r>
    </w:p>
    <w:p w14:paraId="0016CFA0" w14:textId="57BEE60F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suspend a governor if appropriate. </w:t>
      </w:r>
    </w:p>
    <w:p w14:paraId="0627CE79" w14:textId="1DEEBD0E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ensure that a register of Governors’ Pecuniary and Personal Interests is maintained. </w:t>
      </w:r>
    </w:p>
    <w:p w14:paraId="4028A4EA" w14:textId="51F83F74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assign monitoring responsibility for each of the agreed areas. </w:t>
      </w:r>
    </w:p>
    <w:p w14:paraId="724B8BE6" w14:textId="14DAFAAE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receive monitoring reports from governors. </w:t>
      </w:r>
    </w:p>
    <w:p w14:paraId="5742FDF3" w14:textId="491BD561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consider whether any action by the LGB is necessary in response to a governor report. </w:t>
      </w:r>
    </w:p>
    <w:p w14:paraId="401535CF" w14:textId="61743496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receive reports from the Headteacher as agreed (generally at each meeting). </w:t>
      </w:r>
    </w:p>
    <w:p w14:paraId="08BE1A92" w14:textId="7C82EAE0" w:rsid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To receive KPI data reports. </w:t>
      </w:r>
    </w:p>
    <w:p w14:paraId="000E1AC0" w14:textId="2F838BD8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To review Academy policies in line with the Policy Review Schedule and maintain a knowledge of Trust policies.</w:t>
      </w:r>
    </w:p>
    <w:p w14:paraId="3808993F" w14:textId="77777777" w:rsidR="00F33218" w:rsidRPr="00F33218" w:rsidRDefault="003D5F39" w:rsidP="00385F6E">
      <w:pPr>
        <w:pStyle w:val="TTCTBulletpointV2"/>
        <w:rPr>
          <w:b/>
          <w:bCs/>
          <w:noProof/>
        </w:rPr>
      </w:pPr>
      <w:r w:rsidRPr="003D5F39">
        <w:rPr>
          <w:noProof/>
        </w:rPr>
        <w:t xml:space="preserve">To provide reports to </w:t>
      </w:r>
      <w:r w:rsidR="00540DE3">
        <w:rPr>
          <w:noProof/>
        </w:rPr>
        <w:t>t</w:t>
      </w:r>
      <w:r w:rsidRPr="003D5F39">
        <w:rPr>
          <w:noProof/>
        </w:rPr>
        <w:t xml:space="preserve">he Trust on school performance. </w:t>
      </w:r>
    </w:p>
    <w:p w14:paraId="4D3499BE" w14:textId="4DF7D73A" w:rsidR="003D5F39" w:rsidRPr="00F33218" w:rsidRDefault="003D5F39" w:rsidP="00F33218">
      <w:pPr>
        <w:pStyle w:val="TTCTBulletpointV2"/>
        <w:numPr>
          <w:ilvl w:val="0"/>
          <w:numId w:val="0"/>
        </w:numPr>
        <w:spacing w:before="120" w:after="40"/>
        <w:rPr>
          <w:b/>
          <w:bCs/>
          <w:noProof/>
        </w:rPr>
      </w:pPr>
      <w:r w:rsidRPr="00F33218">
        <w:rPr>
          <w:b/>
          <w:bCs/>
          <w:noProof/>
        </w:rPr>
        <w:t xml:space="preserve">3. Hold the senior leaders to account by monitoring the school’s performance; this includes: </w:t>
      </w:r>
    </w:p>
    <w:p w14:paraId="75FAF0A0" w14:textId="527E3A18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agreeing the outcomes from the school’s self-evaluation and ensuring they are used to inform the priorities in the school development plan. </w:t>
      </w:r>
    </w:p>
    <w:p w14:paraId="36EE2BD4" w14:textId="2092C9FB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considering all relevant data and feedback provided on request by school leaders and external sources on all aspects of school performance. </w:t>
      </w:r>
    </w:p>
    <w:p w14:paraId="6A1427AC" w14:textId="5F3C6BAF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asking challenging questions of school leaders. </w:t>
      </w:r>
    </w:p>
    <w:p w14:paraId="2242F283" w14:textId="7BFCD943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ensuring senior leaders have arranged for the required audits to be carried out and receiving the results of those audits. </w:t>
      </w:r>
    </w:p>
    <w:p w14:paraId="7D5E5D2F" w14:textId="4A2DAF73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ensuring senior leaders have developed the required school specific policies and procedures and the school is operating effectively according to those policies. </w:t>
      </w:r>
    </w:p>
    <w:p w14:paraId="2829CCDC" w14:textId="77219178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acting as a link governor on a specific issue, making relevant enquiries of the relevant staff, and reporting to the LGB on the progress on the relevant school priority. </w:t>
      </w:r>
    </w:p>
    <w:p w14:paraId="66A4E644" w14:textId="61D5BCA7" w:rsidR="003D5F39" w:rsidRPr="003D5F39" w:rsidRDefault="003D5F39" w:rsidP="00F33218">
      <w:pPr>
        <w:pStyle w:val="TTCTBulletpointV2"/>
        <w:spacing w:after="120"/>
        <w:rPr>
          <w:noProof/>
        </w:rPr>
      </w:pPr>
      <w:r>
        <w:rPr>
          <w:noProof/>
        </w:rPr>
        <w:t>l</w:t>
      </w:r>
      <w:r w:rsidRPr="003D5F39">
        <w:rPr>
          <w:noProof/>
        </w:rPr>
        <w:t xml:space="preserve">istening to and reporting to the school’s stakeholders: pupils, parents, staff, and the wider community, including local employers. </w:t>
      </w:r>
    </w:p>
    <w:p w14:paraId="5F22B071" w14:textId="77777777" w:rsidR="003D5F39" w:rsidRPr="003D5F39" w:rsidRDefault="003D5F39" w:rsidP="00C21145">
      <w:pPr>
        <w:pStyle w:val="TTCTText"/>
        <w:jc w:val="left"/>
        <w:rPr>
          <w:noProof/>
        </w:rPr>
      </w:pPr>
    </w:p>
    <w:p w14:paraId="50D7D4EA" w14:textId="3A62D82C" w:rsidR="003D5F39" w:rsidRPr="003D5F39" w:rsidRDefault="003D5F39" w:rsidP="00F33218">
      <w:pPr>
        <w:pStyle w:val="TTCTText"/>
        <w:spacing w:before="120" w:after="40"/>
        <w:jc w:val="left"/>
        <w:rPr>
          <w:b/>
          <w:bCs/>
          <w:noProof/>
        </w:rPr>
      </w:pPr>
      <w:r w:rsidRPr="003D5F39">
        <w:rPr>
          <w:b/>
          <w:bCs/>
          <w:noProof/>
        </w:rPr>
        <w:lastRenderedPageBreak/>
        <w:t xml:space="preserve">4. When required, serve on committees of governors to: </w:t>
      </w:r>
    </w:p>
    <w:p w14:paraId="030FE423" w14:textId="4AF6CDC4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Appoint the Headteacher and other senior leaders.  </w:t>
      </w:r>
    </w:p>
    <w:p w14:paraId="13AFBF00" w14:textId="71514C3A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Apprai</w:t>
      </w:r>
      <w:r>
        <w:rPr>
          <w:noProof/>
        </w:rPr>
        <w:t>s</w:t>
      </w:r>
      <w:r w:rsidRPr="003D5F39">
        <w:rPr>
          <w:noProof/>
        </w:rPr>
        <w:t xml:space="preserve">e the Headteacher. </w:t>
      </w:r>
    </w:p>
    <w:p w14:paraId="583F23E4" w14:textId="5B66113A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Set the Headteacher’s pay and agree the pay recommendations for other staff.</w:t>
      </w:r>
    </w:p>
    <w:p w14:paraId="0950B7D9" w14:textId="7525E9A9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Hear the formal stage of grievances and disciplinary matters. </w:t>
      </w:r>
    </w:p>
    <w:p w14:paraId="24530CB7" w14:textId="50EB54E4" w:rsidR="003D5F39" w:rsidRPr="003D5F39" w:rsidRDefault="003D5F39" w:rsidP="00F33218">
      <w:pPr>
        <w:pStyle w:val="TTCTBulletpointV2"/>
        <w:spacing w:after="120"/>
        <w:rPr>
          <w:noProof/>
        </w:rPr>
      </w:pPr>
      <w:r w:rsidRPr="003D5F39">
        <w:rPr>
          <w:noProof/>
        </w:rPr>
        <w:t xml:space="preserve">Review the Headteacher’s use of fixed term and permanent exclusion. </w:t>
      </w:r>
    </w:p>
    <w:p w14:paraId="111E0D72" w14:textId="77777777" w:rsidR="00F33218" w:rsidRDefault="003D5F39" w:rsidP="00F33218">
      <w:pPr>
        <w:pStyle w:val="TTCTText"/>
        <w:spacing w:before="120" w:after="120"/>
        <w:jc w:val="left"/>
        <w:rPr>
          <w:noProof/>
        </w:rPr>
      </w:pPr>
      <w:r w:rsidRPr="003D5F39">
        <w:rPr>
          <w:noProof/>
        </w:rPr>
        <w:t xml:space="preserve">The role of a governor is largely a thinking and questioning role, not a doing role. </w:t>
      </w:r>
    </w:p>
    <w:p w14:paraId="53C5F215" w14:textId="249C0950" w:rsidR="003D5F39" w:rsidRPr="003D5F39" w:rsidRDefault="003D5F39" w:rsidP="00F33218">
      <w:pPr>
        <w:pStyle w:val="TTCTText"/>
        <w:spacing w:before="120" w:after="40"/>
        <w:jc w:val="left"/>
        <w:rPr>
          <w:noProof/>
        </w:rPr>
      </w:pPr>
      <w:r w:rsidRPr="003D5F39">
        <w:rPr>
          <w:noProof/>
        </w:rPr>
        <w:t xml:space="preserve">A governor does not: </w:t>
      </w:r>
    </w:p>
    <w:p w14:paraId="6BE50411" w14:textId="694B0664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Write school policies. </w:t>
      </w:r>
    </w:p>
    <w:p w14:paraId="4BD9E45B" w14:textId="24517D5B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Undertake audits of any sort – whether financial or health and safety – even if the governor has the relevant professional experience. </w:t>
      </w:r>
    </w:p>
    <w:p w14:paraId="011A4B5B" w14:textId="51B14347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Spend much time with the pupils of the school – if you want to work directly with children, there are many other valuable voluntary roles within the school. </w:t>
      </w:r>
    </w:p>
    <w:p w14:paraId="68C9A2CB" w14:textId="71CB7AE5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Fundraise – the LGB should consider income streams and the potential for income generation, but not carry out fundraising tasks. </w:t>
      </w:r>
    </w:p>
    <w:p w14:paraId="1A77438E" w14:textId="7E5C248B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>Undertake classroom observations to make judgments on the quality of teaching – the LGB monitors the quality of teachin</w:t>
      </w:r>
      <w:r>
        <w:rPr>
          <w:noProof/>
        </w:rPr>
        <w:t>g</w:t>
      </w:r>
      <w:r w:rsidRPr="003D5F39">
        <w:rPr>
          <w:noProof/>
        </w:rPr>
        <w:t xml:space="preserve"> in the school by requiring data from the senior staff and from external sources. </w:t>
      </w:r>
    </w:p>
    <w:p w14:paraId="6C675C8D" w14:textId="1434F405" w:rsidR="003D5F39" w:rsidRPr="003D5F39" w:rsidRDefault="003D5F39" w:rsidP="00F33218">
      <w:pPr>
        <w:pStyle w:val="TTCTBulletpointV2"/>
        <w:spacing w:after="120"/>
        <w:rPr>
          <w:noProof/>
        </w:rPr>
      </w:pPr>
      <w:r w:rsidRPr="003D5F39">
        <w:rPr>
          <w:noProof/>
        </w:rPr>
        <w:t xml:space="preserve">Do the job of the school staff – if there is not enough capacity within the paid staff team to carry out the necessary tasks, the LGB needs to consider and rectify this. </w:t>
      </w:r>
    </w:p>
    <w:p w14:paraId="5D3A324C" w14:textId="3D03DC9F" w:rsidR="003D5F39" w:rsidRDefault="003D5F39" w:rsidP="00F33218">
      <w:pPr>
        <w:pStyle w:val="TTCTText"/>
        <w:spacing w:after="120"/>
        <w:jc w:val="left"/>
        <w:rPr>
          <w:noProof/>
        </w:rPr>
      </w:pPr>
      <w:r w:rsidRPr="003D5F39">
        <w:rPr>
          <w:noProof/>
        </w:rPr>
        <w:t xml:space="preserve">As you become more experienced as a governor, there are other roles you could volunteer for which would increase your degree of involvement and level of responsibility (e.g. as a chair of a committee).  This role description does not cover the additional roles taken on by the chair, vice chair and chairs of committees. </w:t>
      </w:r>
    </w:p>
    <w:p w14:paraId="1CA8856C" w14:textId="77777777" w:rsidR="003D5F39" w:rsidRPr="003D5F39" w:rsidRDefault="003D5F39" w:rsidP="00F33218">
      <w:pPr>
        <w:pStyle w:val="TTCTText"/>
        <w:spacing w:after="40"/>
        <w:jc w:val="left"/>
        <w:rPr>
          <w:noProof/>
        </w:rPr>
      </w:pPr>
      <w:r w:rsidRPr="003D5F39">
        <w:rPr>
          <w:noProof/>
        </w:rPr>
        <w:t xml:space="preserve">In order to perform this role well, a governor is expected to: </w:t>
      </w:r>
    </w:p>
    <w:p w14:paraId="081344B9" w14:textId="5D12884A" w:rsid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Get to know the school, including visiting the school occasionally during school hours and gaining a good understanding of the school’s strengths and weaknesses. </w:t>
      </w:r>
    </w:p>
    <w:p w14:paraId="6640216E" w14:textId="4A0EF963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Attend induction training and regular relevant training and development events. </w:t>
      </w:r>
    </w:p>
    <w:p w14:paraId="454F69F4" w14:textId="09B1112F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Attend meetings (full governing body meetings and committee meetings) and read all the papers before the meeting. </w:t>
      </w:r>
    </w:p>
    <w:p w14:paraId="12A08C30" w14:textId="670C2FC0" w:rsidR="003D5F39" w:rsidRPr="003D5F39" w:rsidRDefault="003D5F39" w:rsidP="00F33218">
      <w:pPr>
        <w:pStyle w:val="TTCTBulletpointV2"/>
        <w:spacing w:after="40"/>
        <w:rPr>
          <w:noProof/>
        </w:rPr>
      </w:pPr>
      <w:r w:rsidRPr="003D5F39">
        <w:rPr>
          <w:noProof/>
        </w:rPr>
        <w:t xml:space="preserve">Act in the best interests of all the pupils of the school. </w:t>
      </w:r>
    </w:p>
    <w:p w14:paraId="768ED248" w14:textId="22BDB2E3" w:rsidR="003D5F39" w:rsidRPr="003D5F39" w:rsidRDefault="003D5F39" w:rsidP="00DD2875">
      <w:pPr>
        <w:pStyle w:val="TTCTBulletpointV2"/>
        <w:rPr>
          <w:noProof/>
        </w:rPr>
      </w:pPr>
      <w:r w:rsidRPr="003D5F39">
        <w:rPr>
          <w:noProof/>
        </w:rPr>
        <w:t>Behave in a professional manner, as set down in the LGB’s code of conduct, including acting in strict confidence.</w:t>
      </w:r>
    </w:p>
    <w:sectPr w:rsidR="003D5F39" w:rsidRPr="003D5F39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CEF6" w14:textId="77777777" w:rsidR="0067194A" w:rsidRDefault="0067194A" w:rsidP="000D506B">
      <w:r>
        <w:separator/>
      </w:r>
    </w:p>
  </w:endnote>
  <w:endnote w:type="continuationSeparator" w:id="0">
    <w:p w14:paraId="56E79351" w14:textId="77777777" w:rsidR="0067194A" w:rsidRDefault="0067194A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38E7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BF7" w14:textId="135AC24B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A68D771" wp14:editId="12D10EA0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402" w14:textId="37DAF27C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FDB158A" wp14:editId="7E9B5BEB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9BF8" w14:textId="77777777" w:rsidR="0067194A" w:rsidRDefault="0067194A" w:rsidP="000D506B">
      <w:r>
        <w:separator/>
      </w:r>
    </w:p>
  </w:footnote>
  <w:footnote w:type="continuationSeparator" w:id="0">
    <w:p w14:paraId="51E0AE02" w14:textId="77777777" w:rsidR="0067194A" w:rsidRDefault="0067194A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D3A9" w14:textId="563206D0" w:rsidR="000D506B" w:rsidRDefault="00F33218">
    <w:pPr>
      <w:pStyle w:val="Header"/>
    </w:pPr>
    <w:r>
      <w:rPr>
        <w:noProof/>
      </w:rPr>
      <w:pict w14:anchorId="583C4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2051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C5B" w14:textId="055ECC2A" w:rsidR="000D506B" w:rsidRPr="002B3157" w:rsidRDefault="00F33218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5B6AB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2050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A24C" w14:textId="0AE53758" w:rsidR="000D506B" w:rsidRDefault="00F33218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1688E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2049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D037B6D" wp14:editId="2FE4BB90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D2BF4"/>
    <w:multiLevelType w:val="hybridMultilevel"/>
    <w:tmpl w:val="4212F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85A37"/>
    <w:multiLevelType w:val="hybridMultilevel"/>
    <w:tmpl w:val="7014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06094"/>
    <w:multiLevelType w:val="multilevel"/>
    <w:tmpl w:val="9E7A5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1"/>
  </w:num>
  <w:num w:numId="4">
    <w:abstractNumId w:val="1"/>
  </w:num>
  <w:num w:numId="5">
    <w:abstractNumId w:val="24"/>
  </w:num>
  <w:num w:numId="6">
    <w:abstractNumId w:val="0"/>
  </w:num>
  <w:num w:numId="7">
    <w:abstractNumId w:val="19"/>
  </w:num>
  <w:num w:numId="8">
    <w:abstractNumId w:val="6"/>
  </w:num>
  <w:num w:numId="9">
    <w:abstractNumId w:val="7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26"/>
  </w:num>
  <w:num w:numId="15">
    <w:abstractNumId w:val="8"/>
  </w:num>
  <w:num w:numId="16">
    <w:abstractNumId w:val="27"/>
  </w:num>
  <w:num w:numId="17">
    <w:abstractNumId w:val="14"/>
  </w:num>
  <w:num w:numId="18">
    <w:abstractNumId w:val="12"/>
  </w:num>
  <w:num w:numId="19">
    <w:abstractNumId w:val="11"/>
  </w:num>
  <w:num w:numId="20">
    <w:abstractNumId w:val="15"/>
  </w:num>
  <w:num w:numId="21">
    <w:abstractNumId w:val="10"/>
  </w:num>
  <w:num w:numId="22">
    <w:abstractNumId w:val="23"/>
  </w:num>
  <w:num w:numId="23">
    <w:abstractNumId w:val="22"/>
  </w:num>
  <w:num w:numId="24">
    <w:abstractNumId w:val="5"/>
  </w:num>
  <w:num w:numId="25">
    <w:abstractNumId w:val="9"/>
  </w:num>
  <w:num w:numId="26">
    <w:abstractNumId w:val="2"/>
  </w:num>
  <w:num w:numId="27">
    <w:abstractNumId w:val="28"/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B"/>
    <w:rsid w:val="000145B2"/>
    <w:rsid w:val="00051426"/>
    <w:rsid w:val="00083B4F"/>
    <w:rsid w:val="00084966"/>
    <w:rsid w:val="000B1878"/>
    <w:rsid w:val="000D506B"/>
    <w:rsid w:val="000D6B38"/>
    <w:rsid w:val="000F119F"/>
    <w:rsid w:val="001377ED"/>
    <w:rsid w:val="001F749A"/>
    <w:rsid w:val="002B0F0E"/>
    <w:rsid w:val="002B3157"/>
    <w:rsid w:val="003925A3"/>
    <w:rsid w:val="003D5F39"/>
    <w:rsid w:val="003F478A"/>
    <w:rsid w:val="00465F64"/>
    <w:rsid w:val="00474390"/>
    <w:rsid w:val="004B3496"/>
    <w:rsid w:val="004F0306"/>
    <w:rsid w:val="004F1DE5"/>
    <w:rsid w:val="00540DE3"/>
    <w:rsid w:val="00587AED"/>
    <w:rsid w:val="00633092"/>
    <w:rsid w:val="00641163"/>
    <w:rsid w:val="0067194A"/>
    <w:rsid w:val="00672979"/>
    <w:rsid w:val="0068616B"/>
    <w:rsid w:val="006966ED"/>
    <w:rsid w:val="006C4971"/>
    <w:rsid w:val="00736174"/>
    <w:rsid w:val="00747994"/>
    <w:rsid w:val="007C22FB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B27B62"/>
    <w:rsid w:val="00B74E1F"/>
    <w:rsid w:val="00C21145"/>
    <w:rsid w:val="00CD3A34"/>
    <w:rsid w:val="00D05C9D"/>
    <w:rsid w:val="00D3547D"/>
    <w:rsid w:val="00D623DE"/>
    <w:rsid w:val="00D710FC"/>
    <w:rsid w:val="00DA2FA9"/>
    <w:rsid w:val="00DC7D80"/>
    <w:rsid w:val="00DE1B48"/>
    <w:rsid w:val="00E21ABE"/>
    <w:rsid w:val="00E34F62"/>
    <w:rsid w:val="00F02AD0"/>
    <w:rsid w:val="00F33218"/>
    <w:rsid w:val="00F3491A"/>
    <w:rsid w:val="00F64939"/>
    <w:rsid w:val="789A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EF775A"/>
  <w15:chartTrackingRefBased/>
  <w15:docId w15:val="{4B72096B-A346-914B-8DC9-7BEA808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E21ABE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E21ABE"/>
    <w:pPr>
      <w:jc w:val="both"/>
    </w:pPr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link w:val="ListParagraphChar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  <w:jc w:val="left"/>
    </w:pPr>
  </w:style>
  <w:style w:type="character" w:customStyle="1" w:styleId="ListParagraphChar">
    <w:name w:val="List Paragraph Char"/>
    <w:aliases w:val="TTCT Main Heading Char"/>
    <w:basedOn w:val="DefaultParagraphFont"/>
    <w:link w:val="ListParagraph"/>
    <w:uiPriority w:val="34"/>
    <w:rsid w:val="00083B4F"/>
    <w:rPr>
      <w:rFonts w:ascii="Avenir Next LT Pro" w:hAnsi="Avenir Next LT Pro"/>
      <w:b/>
      <w:sz w:val="32"/>
    </w:rPr>
  </w:style>
  <w:style w:type="paragraph" w:styleId="NormalWeb">
    <w:name w:val="Normal (Web)"/>
    <w:basedOn w:val="Normal"/>
    <w:uiPriority w:val="99"/>
    <w:unhideWhenUsed/>
    <w:rsid w:val="0008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27B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69AC2-0D05-4EEE-A66B-ED81CAF33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BFA83-BB21-4D7D-A395-0FDD20B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EF512-4977-4867-BBC1-22050718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Dagley</dc:creator>
  <cp:keywords/>
  <dc:description/>
  <cp:lastModifiedBy>Nic Barsby</cp:lastModifiedBy>
  <cp:revision>2</cp:revision>
  <dcterms:created xsi:type="dcterms:W3CDTF">2021-11-22T16:18:00Z</dcterms:created>
  <dcterms:modified xsi:type="dcterms:W3CDTF">2021-11-22T16:18:00Z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